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AD" w:rsidRDefault="003B4FAD" w:rsidP="0056561D">
      <w:pPr>
        <w:pStyle w:val="a3"/>
        <w:rPr>
          <w:b/>
          <w:szCs w:val="26"/>
        </w:rPr>
      </w:pPr>
      <w:r>
        <w:rPr>
          <w:b/>
          <w:szCs w:val="26"/>
        </w:rPr>
        <w:t>Министерство здравоохранения Республики Алтай</w:t>
      </w:r>
    </w:p>
    <w:p w:rsidR="003B4FAD" w:rsidRDefault="003B4FAD" w:rsidP="0056561D">
      <w:pPr>
        <w:jc w:val="center"/>
        <w:rPr>
          <w:b/>
          <w:sz w:val="26"/>
          <w:szCs w:val="26"/>
        </w:rPr>
      </w:pPr>
    </w:p>
    <w:p w:rsidR="003B4FAD" w:rsidRDefault="003B4FAD" w:rsidP="00565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КОЛЛЕГИЯ</w:t>
      </w:r>
    </w:p>
    <w:p w:rsidR="003B4FAD" w:rsidRDefault="003B4FAD" w:rsidP="0056561D">
      <w:pPr>
        <w:jc w:val="center"/>
        <w:rPr>
          <w:b/>
          <w:sz w:val="26"/>
          <w:szCs w:val="26"/>
        </w:rPr>
      </w:pPr>
    </w:p>
    <w:p w:rsidR="003B4FAD" w:rsidRDefault="003B4FAD" w:rsidP="00565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№ 4</w:t>
      </w:r>
    </w:p>
    <w:p w:rsidR="003B4FAD" w:rsidRDefault="003B4FAD" w:rsidP="005656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21.12.2018 г.   </w:t>
      </w: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b/>
          <w:sz w:val="26"/>
          <w:szCs w:val="26"/>
        </w:rPr>
        <w:t>Решение № 4.4. Горно-Алтайск</w:t>
      </w:r>
    </w:p>
    <w:p w:rsidR="003B4FAD" w:rsidRDefault="003B4FAD" w:rsidP="0056561D">
      <w:pPr>
        <w:rPr>
          <w:b/>
          <w:sz w:val="26"/>
          <w:szCs w:val="26"/>
        </w:rPr>
      </w:pPr>
    </w:p>
    <w:p w:rsidR="003B4FAD" w:rsidRDefault="003B4FAD" w:rsidP="003B4F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исполнении программы информатизации </w:t>
      </w:r>
    </w:p>
    <w:p w:rsidR="003B4FAD" w:rsidRDefault="003B4FAD" w:rsidP="003B4F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здравоохранения в Республике Алтай»</w:t>
      </w:r>
    </w:p>
    <w:p w:rsidR="003B4FAD" w:rsidRDefault="003B4FAD" w:rsidP="003B4FAD"/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Заслушав и обсудив доклад директора БУЗ РА МИАЦ </w:t>
      </w:r>
      <w:proofErr w:type="spellStart"/>
      <w:r w:rsidR="006E53A2">
        <w:rPr>
          <w:sz w:val="26"/>
          <w:szCs w:val="26"/>
        </w:rPr>
        <w:t>Ф.</w:t>
      </w:r>
      <w:r w:rsidRPr="0056561D">
        <w:rPr>
          <w:sz w:val="26"/>
          <w:szCs w:val="26"/>
        </w:rPr>
        <w:t>Ф.Федотова</w:t>
      </w:r>
      <w:proofErr w:type="spellEnd"/>
      <w:r w:rsidRPr="0056561D">
        <w:rPr>
          <w:sz w:val="26"/>
          <w:szCs w:val="26"/>
        </w:rPr>
        <w:t xml:space="preserve"> </w:t>
      </w:r>
      <w:r w:rsidR="0083081E">
        <w:rPr>
          <w:sz w:val="26"/>
          <w:szCs w:val="26"/>
        </w:rPr>
        <w:br/>
      </w:r>
      <w:r w:rsidRPr="0056561D">
        <w:rPr>
          <w:sz w:val="26"/>
          <w:szCs w:val="26"/>
        </w:rPr>
        <w:t xml:space="preserve">«Об исполнении программы информатизации здравоохранения в Республике Алтай» коллегия отметила: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С 2011 года в РФ осуществляется программа информатизации учреждений здравоохранения. Основным документом, характеризующим качество внедрения этой программы в регионах, является Дорожная карта информатизации здравоохранения.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На сегодня обеспеченность АРМами в РА составляет 89% от заявленной потребности (1100 единиц), что позволяет обеспечить полноценную работу Медицинской информационной системы во всех </w:t>
      </w:r>
      <w:proofErr w:type="spellStart"/>
      <w:r w:rsidRPr="0056561D">
        <w:rPr>
          <w:sz w:val="26"/>
          <w:szCs w:val="26"/>
        </w:rPr>
        <w:t>медорганизациях</w:t>
      </w:r>
      <w:proofErr w:type="spellEnd"/>
      <w:r w:rsidRPr="0056561D">
        <w:rPr>
          <w:sz w:val="26"/>
          <w:szCs w:val="26"/>
        </w:rPr>
        <w:t xml:space="preserve"> региона.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Все медучреждения до уровня </w:t>
      </w:r>
      <w:proofErr w:type="spellStart"/>
      <w:r w:rsidRPr="0056561D">
        <w:rPr>
          <w:sz w:val="26"/>
          <w:szCs w:val="26"/>
        </w:rPr>
        <w:t>Райбольниц</w:t>
      </w:r>
      <w:proofErr w:type="spellEnd"/>
      <w:r w:rsidRPr="0056561D">
        <w:rPr>
          <w:sz w:val="26"/>
          <w:szCs w:val="26"/>
        </w:rPr>
        <w:t xml:space="preserve"> обеспечены защищенными каналами связи с устойчивой скоростью передачи данных (город – до 100 Мб, районы – от 10 до 50 Мб).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Все </w:t>
      </w:r>
      <w:proofErr w:type="spellStart"/>
      <w:r w:rsidRPr="0056561D">
        <w:rPr>
          <w:sz w:val="26"/>
          <w:szCs w:val="26"/>
        </w:rPr>
        <w:t>Райбольницы</w:t>
      </w:r>
      <w:proofErr w:type="spellEnd"/>
      <w:r w:rsidRPr="0056561D">
        <w:rPr>
          <w:sz w:val="26"/>
          <w:szCs w:val="26"/>
        </w:rPr>
        <w:t xml:space="preserve"> полноценно работают в МИС и все реестры на пролеченных больных формируются из МИС: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Серверные мощности для функционирования МИС размещены на базах в МИАЦ и </w:t>
      </w:r>
      <w:proofErr w:type="spellStart"/>
      <w:r w:rsidRPr="0056561D">
        <w:rPr>
          <w:sz w:val="26"/>
          <w:szCs w:val="26"/>
        </w:rPr>
        <w:t>Ресбольницы</w:t>
      </w:r>
      <w:proofErr w:type="spellEnd"/>
      <w:r w:rsidRPr="0056561D">
        <w:rPr>
          <w:sz w:val="26"/>
          <w:szCs w:val="26"/>
        </w:rPr>
        <w:t xml:space="preserve">. Это позволяет полноценно эксплуатировать систему.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 настоящее время силами </w:t>
      </w:r>
      <w:proofErr w:type="spellStart"/>
      <w:r w:rsidRPr="0056561D">
        <w:rPr>
          <w:sz w:val="26"/>
          <w:szCs w:val="26"/>
        </w:rPr>
        <w:t>Минкомсвязи</w:t>
      </w:r>
      <w:proofErr w:type="spellEnd"/>
      <w:r w:rsidRPr="0056561D">
        <w:rPr>
          <w:sz w:val="26"/>
          <w:szCs w:val="26"/>
        </w:rPr>
        <w:t xml:space="preserve"> идет подключение к широкополосному интернету сел Республики Алтай. В частности в 2017 году </w:t>
      </w:r>
      <w:r w:rsidR="0083081E">
        <w:rPr>
          <w:sz w:val="26"/>
          <w:szCs w:val="26"/>
        </w:rPr>
        <w:br/>
      </w:r>
      <w:r w:rsidRPr="0056561D">
        <w:rPr>
          <w:sz w:val="26"/>
          <w:szCs w:val="26"/>
        </w:rPr>
        <w:t xml:space="preserve">(I очередь) были подключены 14  </w:t>
      </w:r>
      <w:proofErr w:type="spellStart"/>
      <w:r w:rsidRPr="0056561D">
        <w:rPr>
          <w:sz w:val="26"/>
          <w:szCs w:val="26"/>
        </w:rPr>
        <w:t>медподразделений</w:t>
      </w:r>
      <w:proofErr w:type="spellEnd"/>
      <w:r w:rsidRPr="0056561D">
        <w:rPr>
          <w:sz w:val="26"/>
          <w:szCs w:val="26"/>
        </w:rPr>
        <w:t xml:space="preserve"> (УБ, СВА, ВОП). В 2018 году (II очередь) должны быть подключены еще 7 подразделений (УБ Черга, </w:t>
      </w:r>
      <w:proofErr w:type="spellStart"/>
      <w:r w:rsidRPr="0056561D">
        <w:rPr>
          <w:sz w:val="26"/>
          <w:szCs w:val="26"/>
        </w:rPr>
        <w:t>Катанда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Усть</w:t>
      </w:r>
      <w:proofErr w:type="spellEnd"/>
      <w:r w:rsidRPr="0056561D">
        <w:rPr>
          <w:sz w:val="26"/>
          <w:szCs w:val="26"/>
        </w:rPr>
        <w:t xml:space="preserve">-Кумир, </w:t>
      </w:r>
      <w:proofErr w:type="spellStart"/>
      <w:r w:rsidRPr="0056561D">
        <w:rPr>
          <w:sz w:val="26"/>
          <w:szCs w:val="26"/>
        </w:rPr>
        <w:t>Балыкча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Иогач</w:t>
      </w:r>
      <w:proofErr w:type="spellEnd"/>
      <w:r w:rsidRPr="0056561D">
        <w:rPr>
          <w:sz w:val="26"/>
          <w:szCs w:val="26"/>
        </w:rPr>
        <w:t xml:space="preserve">, Иня, Беляши). Дата уведомления о подключении – 25.12.2018.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Еще 7 подразделений </w:t>
      </w:r>
      <w:proofErr w:type="spellStart"/>
      <w:r w:rsidRPr="0056561D">
        <w:rPr>
          <w:sz w:val="26"/>
          <w:szCs w:val="26"/>
        </w:rPr>
        <w:t>Райбольниц</w:t>
      </w:r>
      <w:proofErr w:type="spellEnd"/>
      <w:r w:rsidRPr="0056561D">
        <w:rPr>
          <w:sz w:val="26"/>
          <w:szCs w:val="26"/>
        </w:rPr>
        <w:t xml:space="preserve"> – это III очередь, дата подключения пока не определена (</w:t>
      </w:r>
      <w:proofErr w:type="spellStart"/>
      <w:r w:rsidRPr="0056561D">
        <w:rPr>
          <w:sz w:val="26"/>
          <w:szCs w:val="26"/>
        </w:rPr>
        <w:t>Ябоган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Яконур</w:t>
      </w:r>
      <w:proofErr w:type="spellEnd"/>
      <w:r w:rsidRPr="0056561D">
        <w:rPr>
          <w:sz w:val="26"/>
          <w:szCs w:val="26"/>
        </w:rPr>
        <w:t>, Ело, Каракол (</w:t>
      </w:r>
      <w:proofErr w:type="spellStart"/>
      <w:r w:rsidRPr="0056561D">
        <w:rPr>
          <w:sz w:val="26"/>
          <w:szCs w:val="26"/>
        </w:rPr>
        <w:t>онг</w:t>
      </w:r>
      <w:proofErr w:type="spellEnd"/>
      <w:r w:rsidRPr="0056561D">
        <w:rPr>
          <w:sz w:val="26"/>
          <w:szCs w:val="26"/>
        </w:rPr>
        <w:t xml:space="preserve">), </w:t>
      </w:r>
      <w:proofErr w:type="spellStart"/>
      <w:r w:rsidRPr="0056561D">
        <w:rPr>
          <w:sz w:val="26"/>
          <w:szCs w:val="26"/>
        </w:rPr>
        <w:t>Теньга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Купчегень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Манжерок</w:t>
      </w:r>
      <w:proofErr w:type="spellEnd"/>
      <w:r w:rsidRPr="0056561D">
        <w:rPr>
          <w:sz w:val="26"/>
          <w:szCs w:val="26"/>
        </w:rPr>
        <w:t>).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Все УБ, СВА, ВОП, куда пришел интернет, обеспечены АРМами, они подключены к МИС, персонал </w:t>
      </w:r>
      <w:proofErr w:type="gramStart"/>
      <w:r w:rsidRPr="0056561D">
        <w:rPr>
          <w:sz w:val="26"/>
          <w:szCs w:val="26"/>
        </w:rPr>
        <w:t>обучен</w:t>
      </w:r>
      <w:proofErr w:type="gramEnd"/>
      <w:r w:rsidRPr="0056561D">
        <w:rPr>
          <w:sz w:val="26"/>
          <w:szCs w:val="26"/>
        </w:rPr>
        <w:t xml:space="preserve"> и медработники могут работать в МИС.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С 2019 года начнется подключение </w:t>
      </w:r>
      <w:proofErr w:type="spellStart"/>
      <w:r w:rsidRPr="0056561D">
        <w:rPr>
          <w:sz w:val="26"/>
          <w:szCs w:val="26"/>
        </w:rPr>
        <w:t>ФАПов</w:t>
      </w:r>
      <w:proofErr w:type="spellEnd"/>
      <w:r w:rsidRPr="0056561D">
        <w:rPr>
          <w:sz w:val="26"/>
          <w:szCs w:val="26"/>
        </w:rPr>
        <w:t xml:space="preserve"> к сети интернет и соответственно к МИС: 2019 год – 67 ФАП; 2020 год – 134 ФАП (все).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  <w:u w:val="single"/>
        </w:rPr>
        <w:t>Электронная регистратура</w:t>
      </w:r>
      <w:r w:rsidRPr="0056561D">
        <w:rPr>
          <w:sz w:val="26"/>
          <w:szCs w:val="26"/>
        </w:rPr>
        <w:t xml:space="preserve">: внедрена во всех муниципальных образованиях и позволяет записаться на прием: через интернет, портал </w:t>
      </w:r>
      <w:proofErr w:type="spellStart"/>
      <w:r w:rsidRPr="0056561D">
        <w:rPr>
          <w:sz w:val="26"/>
          <w:szCs w:val="26"/>
        </w:rPr>
        <w:t>госуслуг</w:t>
      </w:r>
      <w:proofErr w:type="spellEnd"/>
      <w:r w:rsidRPr="0056561D">
        <w:rPr>
          <w:sz w:val="26"/>
          <w:szCs w:val="26"/>
        </w:rPr>
        <w:t xml:space="preserve">, по телефону, </w:t>
      </w:r>
      <w:proofErr w:type="spellStart"/>
      <w:r w:rsidRPr="0056561D">
        <w:rPr>
          <w:sz w:val="26"/>
          <w:szCs w:val="26"/>
        </w:rPr>
        <w:t>инфоматы</w:t>
      </w:r>
      <w:proofErr w:type="spellEnd"/>
      <w:r w:rsidRPr="0056561D">
        <w:rPr>
          <w:sz w:val="26"/>
          <w:szCs w:val="26"/>
        </w:rPr>
        <w:t xml:space="preserve">. Качество работы Электронной регистратуры напрямую зависит от лиц медучреждений, осуществляющих актуализацию расписания приема врачей. По федеральному нормативу актуализация расписания врачей должна осуществляться на 1 месяц, на деле же расписание актуализируется не более 2-х недель, это вызывает определенные нарекания со стороны пациентов.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lastRenderedPageBreak/>
        <w:t>Для борьбы с «</w:t>
      </w:r>
      <w:proofErr w:type="spellStart"/>
      <w:r w:rsidRPr="0056561D">
        <w:rPr>
          <w:sz w:val="26"/>
          <w:szCs w:val="26"/>
        </w:rPr>
        <w:t>недоходами</w:t>
      </w:r>
      <w:proofErr w:type="spellEnd"/>
      <w:r w:rsidRPr="0056561D">
        <w:rPr>
          <w:sz w:val="26"/>
          <w:szCs w:val="26"/>
        </w:rPr>
        <w:t xml:space="preserve">» пациентов внедрен и работает «Голосовой сервис» - </w:t>
      </w:r>
      <w:proofErr w:type="spellStart"/>
      <w:r w:rsidRPr="0056561D">
        <w:rPr>
          <w:sz w:val="26"/>
          <w:szCs w:val="26"/>
        </w:rPr>
        <w:t>автообзвон</w:t>
      </w:r>
      <w:proofErr w:type="spellEnd"/>
      <w:r w:rsidRPr="0056561D">
        <w:rPr>
          <w:sz w:val="26"/>
          <w:szCs w:val="26"/>
        </w:rPr>
        <w:t xml:space="preserve"> записавшихся на прием с целью напоминания, уточнения и замены пациента в случае отказа от приема.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  <w:u w:val="single"/>
        </w:rPr>
        <w:t>МИС – Поликлиника</w:t>
      </w:r>
      <w:r w:rsidRPr="0056561D">
        <w:rPr>
          <w:sz w:val="26"/>
          <w:szCs w:val="26"/>
        </w:rPr>
        <w:t xml:space="preserve">: внедрена во всех муниципальных образованиях.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  <w:u w:val="single"/>
        </w:rPr>
        <w:t>МИС – Стационар</w:t>
      </w:r>
      <w:r w:rsidRPr="0056561D">
        <w:rPr>
          <w:sz w:val="26"/>
          <w:szCs w:val="26"/>
        </w:rPr>
        <w:t>: Если этот сервис в прошлом году работал лишь в 2-х районных учреждениях, с 2018 года все стационарные отделения всех МО истории болезни ведут в МИС.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На основании данных ведения Поликлиники и Стационара программа МИС позволяет качественно формировать Реестры счетов на оплату в ТФОМС.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Сервис Электронного больничного листка (ЭБЛ) сегодня практически реализован во всех </w:t>
      </w:r>
      <w:proofErr w:type="spellStart"/>
      <w:r w:rsidRPr="0056561D">
        <w:rPr>
          <w:sz w:val="26"/>
          <w:szCs w:val="26"/>
        </w:rPr>
        <w:t>медорганизациях</w:t>
      </w:r>
      <w:proofErr w:type="spellEnd"/>
      <w:r w:rsidRPr="0056561D">
        <w:rPr>
          <w:sz w:val="26"/>
          <w:szCs w:val="26"/>
        </w:rPr>
        <w:t>, но пока на основе программного обеспечения ФСС. В МИС сервис ЭБЛ планируется реализовать в 2019 году.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Полноценная работа МИС возможна лишь при условии полноценного прикрепления населения по участковому принципу в каждом муниципальном образовании. От этого напрямую зависят и формирование Реестров на пролеченных больных, диспансеризация и мн. другое. В 2018 году прикрепление везде максимально приблизилось к 100%.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 МИС реализован «Сервис отбора пациентов на прохождение Диспансеризации» взрослого населения, один раз в 3 года (и отдельные категории 1 раз в 2 года), в разрезе каждого участка и по МО в целом, с учетом прохождения подобной диспансеризации в предыдущие годы. 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56561D">
        <w:rPr>
          <w:sz w:val="26"/>
          <w:szCs w:val="26"/>
        </w:rPr>
        <w:t>Все разделы нашей МИС интегрированы с так называемыми федеральными компонентами.</w:t>
      </w:r>
      <w:proofErr w:type="gramEnd"/>
      <w:r w:rsidRPr="0056561D">
        <w:rPr>
          <w:sz w:val="26"/>
          <w:szCs w:val="26"/>
        </w:rPr>
        <w:t xml:space="preserve"> Сегодня прятать и искажать информацию о нашей деятельности уже невозможно. Руководителям </w:t>
      </w:r>
      <w:proofErr w:type="spellStart"/>
      <w:r w:rsidRPr="0056561D">
        <w:rPr>
          <w:sz w:val="26"/>
          <w:szCs w:val="26"/>
        </w:rPr>
        <w:t>медорганизаций</w:t>
      </w:r>
      <w:proofErr w:type="spellEnd"/>
      <w:r w:rsidRPr="0056561D">
        <w:rPr>
          <w:sz w:val="26"/>
          <w:szCs w:val="26"/>
        </w:rPr>
        <w:t xml:space="preserve"> необходимо максимально серьезно отнестись к работе медработников в МИС.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В прошлом году в </w:t>
      </w:r>
      <w:proofErr w:type="spellStart"/>
      <w:r w:rsidRPr="0056561D">
        <w:rPr>
          <w:sz w:val="26"/>
          <w:szCs w:val="26"/>
        </w:rPr>
        <w:t>Ресбольнице</w:t>
      </w:r>
      <w:proofErr w:type="spellEnd"/>
      <w:r w:rsidRPr="0056561D">
        <w:rPr>
          <w:sz w:val="26"/>
          <w:szCs w:val="26"/>
        </w:rPr>
        <w:t xml:space="preserve">, РЦПБС, РКВД, Перинатальном центре, </w:t>
      </w:r>
      <w:proofErr w:type="spellStart"/>
      <w:r w:rsidRPr="0056561D">
        <w:rPr>
          <w:sz w:val="26"/>
          <w:szCs w:val="26"/>
        </w:rPr>
        <w:t>Онгудайской</w:t>
      </w:r>
      <w:proofErr w:type="spellEnd"/>
      <w:r w:rsidRPr="0056561D">
        <w:rPr>
          <w:sz w:val="26"/>
          <w:szCs w:val="26"/>
        </w:rPr>
        <w:t xml:space="preserve"> </w:t>
      </w:r>
      <w:proofErr w:type="spellStart"/>
      <w:r w:rsidRPr="0056561D">
        <w:rPr>
          <w:sz w:val="26"/>
          <w:szCs w:val="26"/>
        </w:rPr>
        <w:t>райбольнице</w:t>
      </w:r>
      <w:proofErr w:type="spellEnd"/>
      <w:r w:rsidRPr="0056561D">
        <w:rPr>
          <w:sz w:val="26"/>
          <w:szCs w:val="26"/>
        </w:rPr>
        <w:t xml:space="preserve"> был внедрен сервис Лабораторная информационная система (ЛИС). В 2018 году Республике Алтай из федерального бюджета дополнительно было выделено 11 млн. рублей на совершенствование информационной системы. Было принято решение, направить эти средства на приобретение ЛИС на оставшиеся медицинские организации. </w:t>
      </w:r>
      <w:proofErr w:type="gramStart"/>
      <w:r w:rsidRPr="0056561D">
        <w:rPr>
          <w:sz w:val="26"/>
          <w:szCs w:val="26"/>
        </w:rPr>
        <w:t xml:space="preserve">Аукцион состоялся, </w:t>
      </w:r>
      <w:proofErr w:type="spellStart"/>
      <w:r w:rsidRPr="0056561D">
        <w:rPr>
          <w:sz w:val="26"/>
          <w:szCs w:val="26"/>
        </w:rPr>
        <w:t>субпдрядчиком</w:t>
      </w:r>
      <w:proofErr w:type="spellEnd"/>
      <w:r w:rsidRPr="0056561D">
        <w:rPr>
          <w:sz w:val="26"/>
          <w:szCs w:val="26"/>
        </w:rPr>
        <w:t xml:space="preserve"> оказалась та же организация, что организовывала ЛИС в прошлом году «Барс-групп).</w:t>
      </w:r>
      <w:proofErr w:type="gramEnd"/>
      <w:r w:rsidRPr="0056561D">
        <w:rPr>
          <w:sz w:val="26"/>
          <w:szCs w:val="26"/>
        </w:rPr>
        <w:t xml:space="preserve"> Сроки для реализации были очень сжатые и жесткие. Тем не менее, все лаборатории </w:t>
      </w:r>
      <w:proofErr w:type="spellStart"/>
      <w:r w:rsidRPr="0056561D">
        <w:rPr>
          <w:sz w:val="26"/>
          <w:szCs w:val="26"/>
        </w:rPr>
        <w:t>медорганизаций</w:t>
      </w:r>
      <w:proofErr w:type="spellEnd"/>
      <w:r w:rsidRPr="0056561D">
        <w:rPr>
          <w:sz w:val="26"/>
          <w:szCs w:val="26"/>
        </w:rPr>
        <w:t xml:space="preserve"> обеспечены АРМами, все цифровые лабораторные комплексы всех учреждений подключены </w:t>
      </w:r>
      <w:proofErr w:type="gramStart"/>
      <w:r w:rsidRPr="0056561D">
        <w:rPr>
          <w:sz w:val="26"/>
          <w:szCs w:val="26"/>
        </w:rPr>
        <w:t>к</w:t>
      </w:r>
      <w:proofErr w:type="gramEnd"/>
      <w:r w:rsidRPr="0056561D">
        <w:rPr>
          <w:sz w:val="26"/>
          <w:szCs w:val="26"/>
        </w:rPr>
        <w:t xml:space="preserve"> ЛИС. Тем самым все </w:t>
      </w:r>
      <w:proofErr w:type="spellStart"/>
      <w:r w:rsidRPr="0056561D">
        <w:rPr>
          <w:sz w:val="26"/>
          <w:szCs w:val="26"/>
        </w:rPr>
        <w:t>медорганизации</w:t>
      </w:r>
      <w:proofErr w:type="spellEnd"/>
      <w:r w:rsidRPr="0056561D">
        <w:rPr>
          <w:sz w:val="26"/>
          <w:szCs w:val="26"/>
        </w:rPr>
        <w:t xml:space="preserve"> получили возможность из МИС делать назначения в лаборатории, а лаборатории в свою очередь имеют возможность в автоматическом режиме выгружать результаты в карты пациентов и соответственно в заключения, выписки больных и т.д.      </w:t>
      </w:r>
    </w:p>
    <w:p w:rsidR="003B4FAD" w:rsidRPr="0056561D" w:rsidRDefault="003B4FAD" w:rsidP="00A6716A">
      <w:pPr>
        <w:ind w:left="360" w:firstLine="709"/>
        <w:jc w:val="center"/>
        <w:rPr>
          <w:b/>
          <w:sz w:val="26"/>
          <w:szCs w:val="26"/>
          <w:highlight w:val="yellow"/>
          <w:u w:val="single"/>
        </w:rPr>
      </w:pP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Телемедицина на сегодня тот раздел, по которому мы так и не закрыли как решенный вопрос, а показатель в Дорожной карте таки и не выполнен. Для решения данного вопроса необходимы решения в 2-х составляющих: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1. Обеспечение технической возможности проведения ТМК.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2. Обеспечение организационной составляющей.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Что касается технической части, за которую </w:t>
      </w:r>
      <w:proofErr w:type="gramStart"/>
      <w:r w:rsidRPr="0056561D">
        <w:rPr>
          <w:sz w:val="26"/>
          <w:szCs w:val="26"/>
        </w:rPr>
        <w:t>отвечал МИАЦ была</w:t>
      </w:r>
      <w:proofErr w:type="gramEnd"/>
      <w:r w:rsidRPr="0056561D">
        <w:rPr>
          <w:sz w:val="26"/>
          <w:szCs w:val="26"/>
        </w:rPr>
        <w:t xml:space="preserve"> выполнена еще весной. Во всех районных </w:t>
      </w:r>
      <w:proofErr w:type="spellStart"/>
      <w:r w:rsidRPr="0056561D">
        <w:rPr>
          <w:sz w:val="26"/>
          <w:szCs w:val="26"/>
        </w:rPr>
        <w:t>медорганизациях</w:t>
      </w:r>
      <w:proofErr w:type="spellEnd"/>
      <w:r w:rsidRPr="0056561D">
        <w:rPr>
          <w:sz w:val="26"/>
          <w:szCs w:val="26"/>
        </w:rPr>
        <w:t xml:space="preserve">, </w:t>
      </w:r>
      <w:proofErr w:type="spellStart"/>
      <w:r w:rsidRPr="0056561D">
        <w:rPr>
          <w:sz w:val="26"/>
          <w:szCs w:val="26"/>
        </w:rPr>
        <w:t>Ресбольнице</w:t>
      </w:r>
      <w:proofErr w:type="spellEnd"/>
      <w:r w:rsidRPr="0056561D">
        <w:rPr>
          <w:sz w:val="26"/>
          <w:szCs w:val="26"/>
        </w:rPr>
        <w:t xml:space="preserve">, Перинатальной центре, Противотуберкулезном диспансере были созданы кабинеты для ТМК, они </w:t>
      </w:r>
      <w:r w:rsidRPr="0056561D">
        <w:rPr>
          <w:sz w:val="26"/>
          <w:szCs w:val="26"/>
        </w:rPr>
        <w:lastRenderedPageBreak/>
        <w:t>были оснащены необходимой аппаратурой, соответствующего качества, в эти кабинеты протянута сеть и поставлены АРМы, подключенные к МИС. Проведены пробные сеансы ТМК с районами.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Для  постановки на поток ТМК необходимо было разработать Порядок организации ТМК, установить тариф на ТМК. Лишь после того как медицинская услуга ТМК появится в реестре на оплату в ТФОМС федеральный центр это сразу увидит и мы сможем выйти из красной зоны.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Разработка Порядка оказания ТМК – это организационный момент и он своевременно до настоящего времени не был выполнен.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Наряду с ТМК внутри региона, МЗ РФ в ноябре обязал все регионы обеспечить </w:t>
      </w:r>
      <w:proofErr w:type="spellStart"/>
      <w:r w:rsidRPr="0056561D">
        <w:rPr>
          <w:sz w:val="26"/>
          <w:szCs w:val="26"/>
        </w:rPr>
        <w:t>медорганизации</w:t>
      </w:r>
      <w:proofErr w:type="spellEnd"/>
      <w:r w:rsidRPr="0056561D">
        <w:rPr>
          <w:sz w:val="26"/>
          <w:szCs w:val="26"/>
        </w:rPr>
        <w:t xml:space="preserve"> III уровня, (а к ним относятся </w:t>
      </w:r>
      <w:proofErr w:type="spellStart"/>
      <w:r w:rsidRPr="0056561D">
        <w:rPr>
          <w:sz w:val="26"/>
          <w:szCs w:val="26"/>
        </w:rPr>
        <w:t>Ресбольница</w:t>
      </w:r>
      <w:proofErr w:type="spellEnd"/>
      <w:r w:rsidRPr="0056561D">
        <w:rPr>
          <w:sz w:val="26"/>
          <w:szCs w:val="26"/>
        </w:rPr>
        <w:t xml:space="preserve">, Перинатальный центр, Психиатрическая больница, Станция Переливания крови) подключить к Федеральным клиникам. Срок определен – до конца 2018 года. Для Республики Алтай определено 17 федеральных </w:t>
      </w:r>
      <w:proofErr w:type="gramStart"/>
      <w:r w:rsidRPr="0056561D">
        <w:rPr>
          <w:sz w:val="26"/>
          <w:szCs w:val="26"/>
        </w:rPr>
        <w:t>клиник</w:t>
      </w:r>
      <w:proofErr w:type="gramEnd"/>
      <w:r w:rsidRPr="0056561D">
        <w:rPr>
          <w:sz w:val="26"/>
          <w:szCs w:val="26"/>
        </w:rPr>
        <w:t xml:space="preserve"> с которыми должна быть налажена связь для ТМК. Из них 15 клиник – это </w:t>
      </w:r>
      <w:proofErr w:type="spellStart"/>
      <w:r w:rsidRPr="0056561D">
        <w:rPr>
          <w:sz w:val="26"/>
          <w:szCs w:val="26"/>
        </w:rPr>
        <w:t>Ресбольница</w:t>
      </w:r>
      <w:proofErr w:type="spellEnd"/>
      <w:r w:rsidRPr="0056561D">
        <w:rPr>
          <w:sz w:val="26"/>
          <w:szCs w:val="26"/>
        </w:rPr>
        <w:t xml:space="preserve">. </w:t>
      </w:r>
    </w:p>
    <w:p w:rsidR="003B4FAD" w:rsidRPr="0056561D" w:rsidRDefault="003B4FAD" w:rsidP="00A6716A">
      <w:pPr>
        <w:ind w:left="360" w:firstLine="709"/>
        <w:jc w:val="both"/>
        <w:rPr>
          <w:sz w:val="26"/>
          <w:szCs w:val="26"/>
        </w:rPr>
      </w:pP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Еще один важнейший раздел, который до сих пор недопонимают наши руководители – это соблюдение </w:t>
      </w:r>
      <w:r w:rsidRPr="0056561D">
        <w:rPr>
          <w:b/>
          <w:sz w:val="26"/>
          <w:szCs w:val="26"/>
        </w:rPr>
        <w:t>ФЗ-152</w:t>
      </w:r>
      <w:r w:rsidRPr="0056561D">
        <w:rPr>
          <w:sz w:val="26"/>
          <w:szCs w:val="26"/>
        </w:rPr>
        <w:t xml:space="preserve"> «О защите информации». Сегодня это очень серьезное поле для преступной деятельности. Практически все, что касается учета, отчетности, оплаты счетов и т.д. уходит в электронные формы, вслед за этим сюда же уходит и преступность. Работа в МИС сегодня отнесена к высокой степени риска по защите информации, поэтому в этом году прошли проверки ФСБ и ФСТЭК </w:t>
      </w:r>
      <w:proofErr w:type="spellStart"/>
      <w:r w:rsidRPr="0056561D">
        <w:rPr>
          <w:sz w:val="26"/>
          <w:szCs w:val="26"/>
        </w:rPr>
        <w:t>медорганизаций</w:t>
      </w:r>
      <w:proofErr w:type="spellEnd"/>
      <w:r w:rsidRPr="0056561D">
        <w:rPr>
          <w:sz w:val="26"/>
          <w:szCs w:val="26"/>
        </w:rPr>
        <w:t xml:space="preserve"> Республики Алтай. Нам предъявлены серьезные требования, выполнять замечания необходимо в полном объеме. Поэтому, в настоящее время при МИАЦ создается отдел по защите информации.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Актуальной задачей для полноценной работы в МИС является обеспечением Электронными цифровыми подписями (ЭЦП) медработников. Только на сегодня необходимо обеспечивать ЭЦП порядка 1000 медработников. Стоимость одной ЭЦП порядка 3 - 3,5 </w:t>
      </w:r>
      <w:proofErr w:type="spellStart"/>
      <w:r w:rsidRPr="0056561D">
        <w:rPr>
          <w:sz w:val="26"/>
          <w:szCs w:val="26"/>
        </w:rPr>
        <w:t>т.р</w:t>
      </w:r>
      <w:proofErr w:type="spellEnd"/>
      <w:r w:rsidRPr="0056561D">
        <w:rPr>
          <w:sz w:val="26"/>
          <w:szCs w:val="26"/>
        </w:rPr>
        <w:t>. Эти подписи действуют лишь один год, далее необходимо продление. Кроме этого кто-то уходит с работы, кто-то приходит, а ЭЦП необходимо обеспечивать их всех постоянно. Ранее эту услугу мы получали через ЦИБ (Барнаул). Это и накладно и неудобно.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Предложено образовать на уровне ведомства (или Правительства) </w:t>
      </w:r>
      <w:proofErr w:type="gramStart"/>
      <w:r w:rsidRPr="0056561D">
        <w:rPr>
          <w:sz w:val="26"/>
          <w:szCs w:val="26"/>
        </w:rPr>
        <w:t>региональный</w:t>
      </w:r>
      <w:proofErr w:type="gramEnd"/>
      <w:r w:rsidRPr="0056561D">
        <w:rPr>
          <w:sz w:val="26"/>
          <w:szCs w:val="26"/>
        </w:rPr>
        <w:t xml:space="preserve"> УЦ. Это будет и выгодно и удобно. В настоящее время вопрос находится в стадии проработки и согласования с Минэкономики.</w:t>
      </w:r>
    </w:p>
    <w:p w:rsidR="003B4FAD" w:rsidRPr="0056561D" w:rsidRDefault="003B4FAD" w:rsidP="00A6716A">
      <w:pPr>
        <w:ind w:left="360" w:firstLine="709"/>
        <w:jc w:val="both"/>
        <w:rPr>
          <w:b/>
          <w:sz w:val="26"/>
          <w:szCs w:val="26"/>
          <w:highlight w:val="yellow"/>
          <w:u w:val="single"/>
        </w:rPr>
      </w:pP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Для согласованной работы с данными МИС в 2018 году обеспечен функционал в МИС (в её определенных разделах): МЗ РА, ТФОМС, СМО (РГС «</w:t>
      </w:r>
      <w:proofErr w:type="spellStart"/>
      <w:r w:rsidRPr="0056561D">
        <w:rPr>
          <w:sz w:val="26"/>
          <w:szCs w:val="26"/>
        </w:rPr>
        <w:t>Капиталъ</w:t>
      </w:r>
      <w:proofErr w:type="spellEnd"/>
      <w:r w:rsidRPr="0056561D">
        <w:rPr>
          <w:sz w:val="26"/>
          <w:szCs w:val="26"/>
        </w:rPr>
        <w:t xml:space="preserve">»). Тем самым обеспечена возможность для МЗ централизовано вести </w:t>
      </w:r>
      <w:proofErr w:type="gramStart"/>
      <w:r w:rsidRPr="0056561D">
        <w:rPr>
          <w:sz w:val="26"/>
          <w:szCs w:val="26"/>
        </w:rPr>
        <w:t>контроль за</w:t>
      </w:r>
      <w:proofErr w:type="gramEnd"/>
      <w:r w:rsidRPr="0056561D">
        <w:rPr>
          <w:sz w:val="26"/>
          <w:szCs w:val="26"/>
        </w:rPr>
        <w:t xml:space="preserve"> определенными разделами работы в подведомственных организациях.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Необходимо обеспечить возможность представителям ТФОМС и СМО также работать напрямую с МИС, чтобы в этом режиме проводилась сверка страховой принадлежности, прикрепление населения, сверялось расписание врачей, данные отбора и проведения диспансеризации и т.д. Но договор ТФОМС и СМО РГС «</w:t>
      </w:r>
      <w:proofErr w:type="spellStart"/>
      <w:r w:rsidRPr="0056561D">
        <w:rPr>
          <w:sz w:val="26"/>
          <w:szCs w:val="26"/>
        </w:rPr>
        <w:t>Капиталъ</w:t>
      </w:r>
      <w:proofErr w:type="spellEnd"/>
      <w:r w:rsidRPr="0056561D">
        <w:rPr>
          <w:sz w:val="26"/>
          <w:szCs w:val="26"/>
        </w:rPr>
        <w:t xml:space="preserve">» и МИАЦ на сегодня не заключен, учетная запись для работы в МИС не получена. 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Из проблем, которые стоят в РА в области внедрения информатизации можно отметить: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lastRenderedPageBreak/>
        <w:t xml:space="preserve">- </w:t>
      </w:r>
      <w:proofErr w:type="gramStart"/>
      <w:r w:rsidRPr="0056561D">
        <w:rPr>
          <w:sz w:val="26"/>
          <w:szCs w:val="26"/>
        </w:rPr>
        <w:t>Инертность</w:t>
      </w:r>
      <w:proofErr w:type="gramEnd"/>
      <w:r w:rsidRPr="0056561D">
        <w:rPr>
          <w:sz w:val="26"/>
          <w:szCs w:val="26"/>
        </w:rPr>
        <w:t xml:space="preserve"> как медработников, так и руководителей учреждений здравоохранения по исполнению распорядительных документов в области информатизации здравоохранения;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- Низкая исполнительская дисциплина в решении задач информатизации;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- Оставляет желать лучшего качество подготовки специалистов системных администраторов и лиц, отвечающих за информатизацию в районах.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Как худшие по работам в области информатизации отмечаем следующие </w:t>
      </w:r>
      <w:proofErr w:type="spellStart"/>
      <w:r w:rsidRPr="0056561D">
        <w:rPr>
          <w:sz w:val="26"/>
          <w:szCs w:val="26"/>
        </w:rPr>
        <w:t>медорганизации</w:t>
      </w:r>
      <w:proofErr w:type="spellEnd"/>
      <w:r w:rsidRPr="0056561D">
        <w:rPr>
          <w:sz w:val="26"/>
          <w:szCs w:val="26"/>
        </w:rPr>
        <w:t xml:space="preserve">: </w:t>
      </w:r>
      <w:proofErr w:type="spellStart"/>
      <w:r w:rsidRPr="0056561D">
        <w:rPr>
          <w:sz w:val="26"/>
          <w:szCs w:val="26"/>
        </w:rPr>
        <w:t>Усть-Коксинский</w:t>
      </w:r>
      <w:proofErr w:type="spellEnd"/>
      <w:r w:rsidRPr="0056561D">
        <w:rPr>
          <w:sz w:val="26"/>
          <w:szCs w:val="26"/>
        </w:rPr>
        <w:t xml:space="preserve"> и </w:t>
      </w:r>
      <w:proofErr w:type="spellStart"/>
      <w:r w:rsidRPr="0056561D">
        <w:rPr>
          <w:sz w:val="26"/>
          <w:szCs w:val="26"/>
        </w:rPr>
        <w:t>Чойский</w:t>
      </w:r>
      <w:proofErr w:type="spellEnd"/>
      <w:r w:rsidRPr="0056561D">
        <w:rPr>
          <w:sz w:val="26"/>
          <w:szCs w:val="26"/>
        </w:rPr>
        <w:t xml:space="preserve"> р-ны.</w:t>
      </w:r>
    </w:p>
    <w:p w:rsidR="003B4FAD" w:rsidRPr="0056561D" w:rsidRDefault="003B4FAD" w:rsidP="00A6716A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Как лучшие: Кош-</w:t>
      </w:r>
      <w:proofErr w:type="spellStart"/>
      <w:r w:rsidRPr="0056561D">
        <w:rPr>
          <w:sz w:val="26"/>
          <w:szCs w:val="26"/>
        </w:rPr>
        <w:t>Агачский</w:t>
      </w:r>
      <w:proofErr w:type="spellEnd"/>
      <w:r w:rsidRPr="0056561D">
        <w:rPr>
          <w:sz w:val="26"/>
          <w:szCs w:val="26"/>
        </w:rPr>
        <w:t xml:space="preserve"> и </w:t>
      </w:r>
      <w:proofErr w:type="spellStart"/>
      <w:r w:rsidRPr="0056561D">
        <w:rPr>
          <w:sz w:val="26"/>
          <w:szCs w:val="26"/>
        </w:rPr>
        <w:t>Онгудайский</w:t>
      </w:r>
      <w:proofErr w:type="spellEnd"/>
      <w:r w:rsidRPr="0056561D">
        <w:rPr>
          <w:sz w:val="26"/>
          <w:szCs w:val="26"/>
        </w:rPr>
        <w:t xml:space="preserve"> районы.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- Дублирование электронных и письменных форм (запаздывание законотворческой деятельности);</w:t>
      </w:r>
    </w:p>
    <w:p w:rsidR="003B4FAD" w:rsidRPr="0056561D" w:rsidRDefault="003B4FAD" w:rsidP="00A6716A">
      <w:pPr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- Федеральный центр постоянно напоминает, что в исполнении программы информатизации должна быть бюджетная составляющая. Она есть во всех регионах, кроме Республики Алтай.  У нас эту проблему никто не хочет замечать и решать. Все пытаются закрыть </w:t>
      </w:r>
      <w:proofErr w:type="spellStart"/>
      <w:r w:rsidRPr="0056561D">
        <w:rPr>
          <w:sz w:val="26"/>
          <w:szCs w:val="26"/>
        </w:rPr>
        <w:t>ОМСом</w:t>
      </w:r>
      <w:proofErr w:type="spellEnd"/>
      <w:r w:rsidRPr="0056561D">
        <w:rPr>
          <w:sz w:val="26"/>
          <w:szCs w:val="26"/>
        </w:rPr>
        <w:t xml:space="preserve">. К сожалению, это очень накладно и мы тем самым загоняем наши </w:t>
      </w:r>
      <w:proofErr w:type="spellStart"/>
      <w:r w:rsidRPr="0056561D">
        <w:rPr>
          <w:sz w:val="26"/>
          <w:szCs w:val="26"/>
        </w:rPr>
        <w:t>медорганизации</w:t>
      </w:r>
      <w:proofErr w:type="spellEnd"/>
      <w:r w:rsidRPr="0056561D">
        <w:rPr>
          <w:sz w:val="26"/>
          <w:szCs w:val="26"/>
        </w:rPr>
        <w:t xml:space="preserve"> во все большие долги.</w:t>
      </w:r>
    </w:p>
    <w:p w:rsidR="003B4FAD" w:rsidRPr="0056561D" w:rsidRDefault="003B4FAD" w:rsidP="003B4FAD">
      <w:pPr>
        <w:spacing w:after="120"/>
        <w:ind w:left="720"/>
        <w:jc w:val="both"/>
        <w:rPr>
          <w:sz w:val="26"/>
          <w:szCs w:val="26"/>
        </w:rPr>
      </w:pPr>
    </w:p>
    <w:p w:rsidR="003B4FAD" w:rsidRPr="0056561D" w:rsidRDefault="003B4FAD" w:rsidP="003B4FAD">
      <w:pPr>
        <w:spacing w:after="120"/>
        <w:jc w:val="center"/>
        <w:rPr>
          <w:sz w:val="26"/>
          <w:szCs w:val="26"/>
        </w:rPr>
      </w:pPr>
      <w:r w:rsidRPr="0056561D">
        <w:rPr>
          <w:b/>
          <w:sz w:val="26"/>
          <w:szCs w:val="26"/>
        </w:rPr>
        <w:t>Дорожная карта информатизации здравоохранения Республики Алтай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940"/>
        <w:gridCol w:w="1090"/>
        <w:gridCol w:w="1090"/>
        <w:gridCol w:w="1090"/>
      </w:tblGrid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napToGrid w:val="0"/>
              <w:spacing w:after="120"/>
              <w:jc w:val="both"/>
              <w:rPr>
                <w:b/>
                <w:lang w:eastAsia="zh-C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</w:rPr>
            </w:pPr>
            <w:r w:rsidRPr="0056561D">
              <w:rPr>
                <w:b/>
              </w:rPr>
              <w:t xml:space="preserve">Факт </w:t>
            </w:r>
          </w:p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</w:rPr>
            </w:pPr>
            <w:r w:rsidRPr="0056561D">
              <w:rPr>
                <w:b/>
              </w:rPr>
              <w:t>2017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</w:rPr>
            </w:pPr>
            <w:r w:rsidRPr="0056561D">
              <w:rPr>
                <w:b/>
              </w:rPr>
              <w:t>План</w:t>
            </w:r>
          </w:p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lang w:eastAsia="zh-CN"/>
              </w:rPr>
            </w:pPr>
            <w:r w:rsidRPr="0056561D">
              <w:rPr>
                <w:b/>
              </w:rPr>
              <w:t>2018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</w:rPr>
            </w:pPr>
            <w:r w:rsidRPr="0056561D">
              <w:rPr>
                <w:b/>
              </w:rPr>
              <w:t>ФАКТ</w:t>
            </w:r>
          </w:p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</w:rPr>
            </w:pPr>
            <w:r w:rsidRPr="0056561D">
              <w:rPr>
                <w:b/>
              </w:rPr>
              <w:t>2018 г.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Процент медработников, работающих в МИС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78%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 xml:space="preserve">Процент медперсонала </w:t>
            </w:r>
            <w:proofErr w:type="gramStart"/>
            <w:r w:rsidRPr="0056561D">
              <w:rPr>
                <w:sz w:val="22"/>
                <w:szCs w:val="22"/>
              </w:rPr>
              <w:t>пользующихся</w:t>
            </w:r>
            <w:proofErr w:type="gramEnd"/>
            <w:r w:rsidRPr="0056561D">
              <w:rPr>
                <w:sz w:val="22"/>
                <w:szCs w:val="22"/>
              </w:rPr>
              <w:t xml:space="preserve"> электронной подписью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41%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80%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80%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proofErr w:type="gramStart"/>
            <w:r w:rsidRPr="0056561D">
              <w:rPr>
                <w:sz w:val="22"/>
                <w:szCs w:val="22"/>
              </w:rPr>
              <w:t xml:space="preserve">Процент АРМ подключенных федеральным системам непрерывного </w:t>
            </w:r>
            <w:proofErr w:type="spellStart"/>
            <w:r w:rsidRPr="0056561D">
              <w:rPr>
                <w:sz w:val="22"/>
                <w:szCs w:val="22"/>
              </w:rPr>
              <w:t>медобразования</w:t>
            </w:r>
            <w:proofErr w:type="spellEnd"/>
            <w:proofErr w:type="gram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Процент цифрового диагностического медоборудования обеспечивающих передачу результатов в ЕГИЗС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32%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80%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55%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Процент отделений станции скорой помощи, оснащенных системой ГЛОНАСС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Процент выписанных льготных рецептов передаваемых в электронном виде в аптечные учреждения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 xml:space="preserve">Процент МО передающих сведения ЭМК в </w:t>
            </w:r>
            <w:proofErr w:type="spellStart"/>
            <w:r w:rsidRPr="0056561D">
              <w:rPr>
                <w:sz w:val="22"/>
                <w:szCs w:val="22"/>
              </w:rPr>
              <w:t>фед</w:t>
            </w:r>
            <w:proofErr w:type="spellEnd"/>
            <w:r w:rsidRPr="0056561D">
              <w:rPr>
                <w:sz w:val="22"/>
                <w:szCs w:val="22"/>
              </w:rPr>
              <w:t>. систему интеграции ЭМК ЕГИЗС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Процент МО актуализирующих Паспорта медучреждений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  <w:lang w:eastAsia="zh-CN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 xml:space="preserve">Процент МО подключенных </w:t>
            </w:r>
            <w:proofErr w:type="gramStart"/>
            <w:r w:rsidRPr="0056561D">
              <w:rPr>
                <w:sz w:val="22"/>
                <w:szCs w:val="22"/>
              </w:rPr>
              <w:t>к</w:t>
            </w:r>
            <w:proofErr w:type="gramEnd"/>
            <w:r w:rsidRPr="0056561D">
              <w:rPr>
                <w:sz w:val="22"/>
                <w:szCs w:val="22"/>
              </w:rPr>
              <w:t xml:space="preserve"> ЛИС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100%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Процент МО имеющих кабинеты для телемедицинских консультаций (ТМК)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75%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75%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Процент МО проводящих ТМК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0</w:t>
            </w:r>
          </w:p>
        </w:tc>
      </w:tr>
      <w:tr w:rsidR="003B4FAD" w:rsidRPr="004E3E0D" w:rsidTr="0056561D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FAD" w:rsidRPr="0056561D" w:rsidRDefault="003B4FAD" w:rsidP="0056561D">
            <w:pPr>
              <w:suppressAutoHyphens/>
              <w:spacing w:after="120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Процент МО, подключенных к ЦАМИ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sz w:val="22"/>
                <w:szCs w:val="22"/>
              </w:rPr>
            </w:pPr>
            <w:r w:rsidRPr="0056561D">
              <w:rPr>
                <w:sz w:val="22"/>
                <w:szCs w:val="22"/>
              </w:rPr>
              <w:t>60%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4FAD" w:rsidRPr="0056561D" w:rsidRDefault="003B4FAD" w:rsidP="0056561D">
            <w:pPr>
              <w:suppressAutoHyphens/>
              <w:spacing w:after="120"/>
              <w:jc w:val="center"/>
              <w:rPr>
                <w:b/>
                <w:sz w:val="22"/>
                <w:szCs w:val="22"/>
              </w:rPr>
            </w:pPr>
            <w:r w:rsidRPr="0056561D">
              <w:rPr>
                <w:b/>
                <w:sz w:val="22"/>
                <w:szCs w:val="22"/>
              </w:rPr>
              <w:t>67%</w:t>
            </w:r>
          </w:p>
        </w:tc>
      </w:tr>
    </w:tbl>
    <w:p w:rsidR="0056561D" w:rsidRDefault="0056561D" w:rsidP="003B4FAD">
      <w:pPr>
        <w:ind w:firstLine="720"/>
        <w:jc w:val="both"/>
        <w:rPr>
          <w:sz w:val="26"/>
          <w:szCs w:val="26"/>
        </w:rPr>
      </w:pPr>
    </w:p>
    <w:p w:rsidR="0056561D" w:rsidRDefault="003B4FAD" w:rsidP="003B4FAD">
      <w:pPr>
        <w:ind w:firstLine="72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Программа информатизации здравоохранения продолжается на последующие годы. Принята Федеральная программа «Создание цифрового контура в здравоохранении на основе ЕГИСЗ» до 2024 года. </w:t>
      </w:r>
    </w:p>
    <w:p w:rsidR="003B4FAD" w:rsidRPr="0056561D" w:rsidRDefault="003B4FAD" w:rsidP="003B4FAD">
      <w:pPr>
        <w:ind w:firstLine="720"/>
        <w:jc w:val="both"/>
        <w:rPr>
          <w:sz w:val="26"/>
          <w:szCs w:val="26"/>
        </w:rPr>
      </w:pPr>
      <w:r w:rsidRPr="0056561D">
        <w:rPr>
          <w:sz w:val="26"/>
          <w:szCs w:val="26"/>
        </w:rPr>
        <w:lastRenderedPageBreak/>
        <w:t>На реализацию развития новых сервисов ЕГИСЗ для Республики Алтай из федерального бюджета предусмотрено выделение денежных сре</w:t>
      </w:r>
      <w:proofErr w:type="gramStart"/>
      <w:r w:rsidRPr="0056561D">
        <w:rPr>
          <w:sz w:val="26"/>
          <w:szCs w:val="26"/>
        </w:rPr>
        <w:t>дств в р</w:t>
      </w:r>
      <w:proofErr w:type="gramEnd"/>
      <w:r w:rsidRPr="0056561D">
        <w:rPr>
          <w:sz w:val="26"/>
          <w:szCs w:val="26"/>
        </w:rPr>
        <w:t>азмерах (пока на 3 года):</w:t>
      </w:r>
    </w:p>
    <w:p w:rsidR="003B4FAD" w:rsidRPr="0056561D" w:rsidRDefault="003B4FAD" w:rsidP="003B4FAD">
      <w:pPr>
        <w:ind w:firstLine="720"/>
        <w:rPr>
          <w:sz w:val="26"/>
          <w:szCs w:val="26"/>
        </w:rPr>
      </w:pPr>
      <w:r w:rsidRPr="0056561D">
        <w:rPr>
          <w:sz w:val="26"/>
          <w:szCs w:val="26"/>
        </w:rPr>
        <w:t xml:space="preserve">2019 год –  56 380 </w:t>
      </w:r>
      <w:proofErr w:type="spellStart"/>
      <w:r w:rsidRPr="0056561D">
        <w:rPr>
          <w:sz w:val="26"/>
          <w:szCs w:val="26"/>
        </w:rPr>
        <w:t>т.р</w:t>
      </w:r>
      <w:proofErr w:type="spellEnd"/>
      <w:r w:rsidRPr="0056561D">
        <w:rPr>
          <w:sz w:val="26"/>
          <w:szCs w:val="26"/>
        </w:rPr>
        <w:t xml:space="preserve">.; </w:t>
      </w:r>
    </w:p>
    <w:p w:rsidR="003B4FAD" w:rsidRPr="0056561D" w:rsidRDefault="003B4FAD" w:rsidP="003B4FAD">
      <w:pPr>
        <w:ind w:firstLine="720"/>
        <w:rPr>
          <w:sz w:val="26"/>
          <w:szCs w:val="26"/>
        </w:rPr>
      </w:pPr>
      <w:r w:rsidRPr="0056561D">
        <w:rPr>
          <w:sz w:val="26"/>
          <w:szCs w:val="26"/>
        </w:rPr>
        <w:t xml:space="preserve">2020 год – 190 365 </w:t>
      </w:r>
      <w:proofErr w:type="spellStart"/>
      <w:r w:rsidRPr="0056561D">
        <w:rPr>
          <w:sz w:val="26"/>
          <w:szCs w:val="26"/>
        </w:rPr>
        <w:t>т.р</w:t>
      </w:r>
      <w:proofErr w:type="spellEnd"/>
      <w:r w:rsidRPr="0056561D">
        <w:rPr>
          <w:sz w:val="26"/>
          <w:szCs w:val="26"/>
        </w:rPr>
        <w:t xml:space="preserve">.; </w:t>
      </w:r>
    </w:p>
    <w:p w:rsidR="003B4FAD" w:rsidRPr="0056561D" w:rsidRDefault="003B4FAD" w:rsidP="003B4FAD">
      <w:pPr>
        <w:ind w:firstLine="720"/>
        <w:rPr>
          <w:sz w:val="26"/>
          <w:szCs w:val="26"/>
        </w:rPr>
      </w:pPr>
      <w:r w:rsidRPr="0056561D">
        <w:rPr>
          <w:sz w:val="26"/>
          <w:szCs w:val="26"/>
        </w:rPr>
        <w:t xml:space="preserve">2021 год – 53 235 </w:t>
      </w:r>
      <w:proofErr w:type="spellStart"/>
      <w:r w:rsidRPr="0056561D">
        <w:rPr>
          <w:sz w:val="26"/>
          <w:szCs w:val="26"/>
        </w:rPr>
        <w:t>т.р</w:t>
      </w:r>
      <w:proofErr w:type="spellEnd"/>
      <w:r w:rsidRPr="0056561D">
        <w:rPr>
          <w:sz w:val="26"/>
          <w:szCs w:val="26"/>
        </w:rPr>
        <w:t>.</w:t>
      </w:r>
    </w:p>
    <w:p w:rsidR="003B4FAD" w:rsidRPr="0056561D" w:rsidRDefault="003B4FAD" w:rsidP="003B4FAD">
      <w:pPr>
        <w:ind w:firstLine="72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Основные новые направления в информатизации </w:t>
      </w:r>
      <w:proofErr w:type="gramStart"/>
      <w:r w:rsidRPr="0056561D">
        <w:rPr>
          <w:sz w:val="26"/>
          <w:szCs w:val="26"/>
        </w:rPr>
        <w:t>здравоохранения</w:t>
      </w:r>
      <w:proofErr w:type="gramEnd"/>
      <w:r w:rsidRPr="0056561D">
        <w:rPr>
          <w:sz w:val="26"/>
          <w:szCs w:val="26"/>
        </w:rPr>
        <w:t xml:space="preserve"> на реализацию которых предполагается потратить эти средства: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1. Подключение в работу в цифровом контуре всех </w:t>
      </w:r>
      <w:proofErr w:type="spellStart"/>
      <w:r w:rsidRPr="0056561D">
        <w:rPr>
          <w:sz w:val="26"/>
          <w:szCs w:val="26"/>
        </w:rPr>
        <w:t>медорганизаций</w:t>
      </w:r>
      <w:proofErr w:type="spellEnd"/>
      <w:r w:rsidRPr="0056561D">
        <w:rPr>
          <w:sz w:val="26"/>
          <w:szCs w:val="26"/>
        </w:rPr>
        <w:t xml:space="preserve"> и их подразделений;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2. Взаимодействие с органами </w:t>
      </w:r>
      <w:proofErr w:type="gramStart"/>
      <w:r w:rsidRPr="0056561D">
        <w:rPr>
          <w:sz w:val="26"/>
          <w:szCs w:val="26"/>
        </w:rPr>
        <w:t>медико-социальной</w:t>
      </w:r>
      <w:proofErr w:type="gramEnd"/>
      <w:r w:rsidRPr="0056561D">
        <w:rPr>
          <w:sz w:val="26"/>
          <w:szCs w:val="26"/>
        </w:rPr>
        <w:t xml:space="preserve"> экспертизы; 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3. Управление скорой и неотложной помощью и </w:t>
      </w:r>
      <w:proofErr w:type="spellStart"/>
      <w:r w:rsidRPr="0056561D">
        <w:rPr>
          <w:sz w:val="26"/>
          <w:szCs w:val="26"/>
        </w:rPr>
        <w:t>саавиацией</w:t>
      </w:r>
      <w:proofErr w:type="spellEnd"/>
      <w:r w:rsidRPr="0056561D">
        <w:rPr>
          <w:sz w:val="26"/>
          <w:szCs w:val="26"/>
        </w:rPr>
        <w:t>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4. Управление льготным лекарственным обеспечением;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5. Телемедицинские консультации и Архив медицинских изображений;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6. Лабораторные исследования;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7. Организация оказания медицинской помощи онкологическим больным;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8. Организация медицинской помощи больным </w:t>
      </w:r>
      <w:proofErr w:type="gramStart"/>
      <w:r w:rsidRPr="0056561D">
        <w:rPr>
          <w:sz w:val="26"/>
          <w:szCs w:val="26"/>
        </w:rPr>
        <w:t>сердечно-сосудистыми</w:t>
      </w:r>
      <w:proofErr w:type="gramEnd"/>
      <w:r w:rsidRPr="0056561D">
        <w:rPr>
          <w:sz w:val="26"/>
          <w:szCs w:val="26"/>
        </w:rPr>
        <w:t xml:space="preserve"> заболеваниями;</w:t>
      </w:r>
    </w:p>
    <w:p w:rsidR="003B4FAD" w:rsidRPr="0056561D" w:rsidRDefault="003B4FAD" w:rsidP="003B4FAD">
      <w:pPr>
        <w:ind w:firstLine="54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9. Информационное обеспечение с Фондом социального страхования.</w:t>
      </w:r>
    </w:p>
    <w:p w:rsidR="003B4FAD" w:rsidRPr="0056561D" w:rsidRDefault="003B4FAD" w:rsidP="00104839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Таким образом, мы можем констатировать, что в медицинских организациях Республики Алтай планомерно проводится работа по внедрению и совершенствованию Медицинской информационной системы, расширению числа подразделений, вовлеченных в систему информатизации здравоохранения, разработку и внедрение новых сервисов МИС, интеграцию этих сервисов с региональными и федеральными компонентами. Оснащенность АРМами в Республике Алтай одна из лучших в стране, это благодаря тому, что мы в оснащении АРМами все мероприятия сдвинули на 1 год вперед. Можно также констатировать, что практически все медработников вовлекаются в работу с электронными сервисами МИС.</w:t>
      </w:r>
    </w:p>
    <w:p w:rsidR="003B4FAD" w:rsidRPr="0056561D" w:rsidRDefault="003B4FAD" w:rsidP="00104839">
      <w:pPr>
        <w:ind w:left="360" w:firstLine="540"/>
        <w:jc w:val="both"/>
        <w:rPr>
          <w:b/>
          <w:sz w:val="26"/>
          <w:szCs w:val="26"/>
        </w:rPr>
      </w:pPr>
    </w:p>
    <w:p w:rsidR="003B4FAD" w:rsidRPr="0056561D" w:rsidRDefault="003B4FAD" w:rsidP="00104839">
      <w:pPr>
        <w:ind w:left="360" w:firstLine="540"/>
        <w:jc w:val="both"/>
        <w:rPr>
          <w:sz w:val="26"/>
          <w:szCs w:val="26"/>
        </w:rPr>
      </w:pPr>
      <w:r w:rsidRPr="0056561D">
        <w:rPr>
          <w:b/>
          <w:sz w:val="26"/>
          <w:szCs w:val="26"/>
        </w:rPr>
        <w:t>Коллегия решила:</w:t>
      </w:r>
    </w:p>
    <w:p w:rsidR="003B4FAD" w:rsidRPr="0056561D" w:rsidRDefault="003B4FAD" w:rsidP="006660EE">
      <w:pPr>
        <w:spacing w:after="120"/>
        <w:ind w:firstLine="709"/>
        <w:jc w:val="both"/>
        <w:rPr>
          <w:b/>
          <w:sz w:val="26"/>
          <w:szCs w:val="26"/>
        </w:rPr>
      </w:pPr>
      <w:r w:rsidRPr="0056561D">
        <w:rPr>
          <w:sz w:val="26"/>
          <w:szCs w:val="26"/>
        </w:rPr>
        <w:t>Признать работу по информатизации здравоохранения Республики Алтай -  удовлетворительной.</w:t>
      </w:r>
    </w:p>
    <w:p w:rsidR="003B4FAD" w:rsidRPr="0056561D" w:rsidRDefault="003B4FAD" w:rsidP="006660EE">
      <w:pPr>
        <w:spacing w:after="120"/>
        <w:ind w:firstLine="709"/>
        <w:jc w:val="both"/>
        <w:rPr>
          <w:b/>
          <w:sz w:val="26"/>
          <w:szCs w:val="26"/>
        </w:rPr>
      </w:pPr>
      <w:r w:rsidRPr="0056561D">
        <w:rPr>
          <w:b/>
          <w:sz w:val="26"/>
          <w:szCs w:val="26"/>
        </w:rPr>
        <w:t>Рекомендовать</w:t>
      </w:r>
      <w:r w:rsidRPr="0056561D">
        <w:rPr>
          <w:sz w:val="26"/>
          <w:szCs w:val="26"/>
        </w:rPr>
        <w:t xml:space="preserve">: 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b/>
          <w:sz w:val="26"/>
          <w:szCs w:val="26"/>
        </w:rPr>
        <w:t>1. Министерству здравоохранения РА (</w:t>
      </w:r>
      <w:proofErr w:type="spellStart"/>
      <w:r w:rsidRPr="0056561D">
        <w:rPr>
          <w:b/>
          <w:sz w:val="26"/>
          <w:szCs w:val="26"/>
        </w:rPr>
        <w:t>М</w:t>
      </w:r>
      <w:r w:rsidR="00104839">
        <w:rPr>
          <w:b/>
          <w:sz w:val="26"/>
          <w:szCs w:val="26"/>
        </w:rPr>
        <w:t>акин</w:t>
      </w:r>
      <w:proofErr w:type="spellEnd"/>
      <w:r w:rsidR="00104839" w:rsidRPr="00104839">
        <w:rPr>
          <w:b/>
          <w:sz w:val="26"/>
          <w:szCs w:val="26"/>
        </w:rPr>
        <w:t xml:space="preserve"> </w:t>
      </w:r>
      <w:r w:rsidR="00104839">
        <w:rPr>
          <w:b/>
          <w:sz w:val="26"/>
          <w:szCs w:val="26"/>
        </w:rPr>
        <w:t>А.А.</w:t>
      </w:r>
      <w:r w:rsidRPr="0056561D">
        <w:rPr>
          <w:b/>
          <w:sz w:val="26"/>
          <w:szCs w:val="26"/>
        </w:rPr>
        <w:t xml:space="preserve">): </w:t>
      </w:r>
    </w:p>
    <w:p w:rsidR="003B4FAD" w:rsidRPr="0056561D" w:rsidRDefault="003B4FAD" w:rsidP="006660EE">
      <w:pPr>
        <w:spacing w:after="120"/>
        <w:ind w:firstLine="709"/>
        <w:jc w:val="both"/>
        <w:rPr>
          <w:b/>
          <w:sz w:val="26"/>
          <w:szCs w:val="26"/>
        </w:rPr>
      </w:pPr>
      <w:r w:rsidRPr="0056561D">
        <w:rPr>
          <w:sz w:val="26"/>
          <w:szCs w:val="26"/>
        </w:rPr>
        <w:t xml:space="preserve">1.1. Обеспечить системный эффективный </w:t>
      </w:r>
      <w:proofErr w:type="gramStart"/>
      <w:r w:rsidRPr="0056561D">
        <w:rPr>
          <w:sz w:val="26"/>
          <w:szCs w:val="26"/>
        </w:rPr>
        <w:t>контроль за</w:t>
      </w:r>
      <w:proofErr w:type="gramEnd"/>
      <w:r w:rsidRPr="0056561D">
        <w:rPr>
          <w:sz w:val="26"/>
          <w:szCs w:val="26"/>
        </w:rPr>
        <w:t xml:space="preserve"> проводимыми мероприятиями в области информатизации учреждений здравоохранения в РА.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b/>
          <w:sz w:val="26"/>
          <w:szCs w:val="26"/>
        </w:rPr>
        <w:t>2. БУЗ РА «Медицинский информационно-аналитический центр (Федотов Ф.Ф.):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2.1. Продолжить организационную и методическую работу по внедрению электронных сервисов в </w:t>
      </w:r>
      <w:proofErr w:type="spellStart"/>
      <w:r w:rsidRPr="0056561D">
        <w:rPr>
          <w:sz w:val="26"/>
          <w:szCs w:val="26"/>
        </w:rPr>
        <w:t>медорганизациях</w:t>
      </w:r>
      <w:proofErr w:type="spellEnd"/>
      <w:r w:rsidRPr="0056561D">
        <w:rPr>
          <w:sz w:val="26"/>
          <w:szCs w:val="26"/>
        </w:rPr>
        <w:t xml:space="preserve"> РА, </w:t>
      </w:r>
      <w:proofErr w:type="gramStart"/>
      <w:r w:rsidRPr="0056561D">
        <w:rPr>
          <w:sz w:val="26"/>
          <w:szCs w:val="26"/>
        </w:rPr>
        <w:t>согласно</w:t>
      </w:r>
      <w:proofErr w:type="gramEnd"/>
      <w:r w:rsidRPr="0056561D">
        <w:rPr>
          <w:sz w:val="26"/>
          <w:szCs w:val="26"/>
        </w:rPr>
        <w:t xml:space="preserve"> регламентирующих документов МЗ РФ.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2.2. Обеспечить регулярный мониторинг состояния работ по информатизации медицинских организаций региона.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2.3. Обеспечить </w:t>
      </w:r>
      <w:proofErr w:type="gramStart"/>
      <w:r w:rsidRPr="0056561D">
        <w:rPr>
          <w:sz w:val="26"/>
          <w:szCs w:val="26"/>
        </w:rPr>
        <w:t>контроль за</w:t>
      </w:r>
      <w:proofErr w:type="gramEnd"/>
      <w:r w:rsidRPr="0056561D">
        <w:rPr>
          <w:sz w:val="26"/>
          <w:szCs w:val="26"/>
        </w:rPr>
        <w:t xml:space="preserve"> соблюдением всех работ по информатизации в строгом соответствии с требованиями ФЗ-152 «О защите персональных данных».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lastRenderedPageBreak/>
        <w:t xml:space="preserve">2.4. Вести планомерную работу по мероприятиям, направленных на снижение эксплуатационных расходов медицинских </w:t>
      </w:r>
      <w:proofErr w:type="gramStart"/>
      <w:r w:rsidRPr="0056561D">
        <w:rPr>
          <w:sz w:val="26"/>
          <w:szCs w:val="26"/>
        </w:rPr>
        <w:t>организаций</w:t>
      </w:r>
      <w:proofErr w:type="gramEnd"/>
      <w:r w:rsidRPr="0056561D">
        <w:rPr>
          <w:sz w:val="26"/>
          <w:szCs w:val="26"/>
        </w:rPr>
        <w:t xml:space="preserve"> на содержание медицинских информационных систем.</w:t>
      </w:r>
    </w:p>
    <w:p w:rsidR="003B4FAD" w:rsidRPr="0056561D" w:rsidRDefault="003B4FAD" w:rsidP="006660EE">
      <w:pPr>
        <w:spacing w:after="120"/>
        <w:ind w:firstLine="709"/>
        <w:jc w:val="both"/>
        <w:rPr>
          <w:b/>
          <w:sz w:val="26"/>
          <w:szCs w:val="26"/>
        </w:rPr>
      </w:pPr>
      <w:r w:rsidRPr="0056561D">
        <w:rPr>
          <w:sz w:val="26"/>
          <w:szCs w:val="26"/>
        </w:rPr>
        <w:t xml:space="preserve">2.5. Обеспечить исполнение Федеральной программы «Создание цифрового контура в здравоохранении на основе ЕГИС до 2024 года». </w:t>
      </w:r>
    </w:p>
    <w:p w:rsidR="00A6716A" w:rsidRDefault="00A6716A" w:rsidP="006660EE">
      <w:pPr>
        <w:spacing w:after="120"/>
        <w:ind w:firstLine="709"/>
        <w:jc w:val="both"/>
        <w:rPr>
          <w:b/>
          <w:sz w:val="26"/>
          <w:szCs w:val="26"/>
        </w:rPr>
      </w:pP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6561D">
        <w:rPr>
          <w:b/>
          <w:sz w:val="26"/>
          <w:szCs w:val="26"/>
        </w:rPr>
        <w:t>3. Главным врачам медицинских организаций РА: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3.1. Обеспечить исполнение плана по дооснащению МО АРМами согласно текущим потребностям.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3.2. Обеспечить АРМами и подключением к МИС 100% территориально удаленных подразделений (УБ и СВА), при условии имеющейся технической возможности по связи и при условиях наличия в этих подразделениях врачей.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3.4. Обеспечить 100% работу врачей поликлиник и стационаров работе в МИС.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3.5. Обеспечить надлежащий </w:t>
      </w:r>
      <w:proofErr w:type="gramStart"/>
      <w:r w:rsidRPr="0056561D">
        <w:rPr>
          <w:sz w:val="26"/>
          <w:szCs w:val="26"/>
        </w:rPr>
        <w:t>контроль за</w:t>
      </w:r>
      <w:proofErr w:type="gramEnd"/>
      <w:r w:rsidRPr="0056561D">
        <w:rPr>
          <w:sz w:val="26"/>
          <w:szCs w:val="26"/>
        </w:rPr>
        <w:t xml:space="preserve"> подготовкой специалистов-</w:t>
      </w:r>
      <w:proofErr w:type="spellStart"/>
      <w:r w:rsidRPr="0056561D">
        <w:rPr>
          <w:sz w:val="26"/>
          <w:szCs w:val="26"/>
        </w:rPr>
        <w:t>информатизаторов</w:t>
      </w:r>
      <w:proofErr w:type="spellEnd"/>
      <w:r w:rsidRPr="0056561D">
        <w:rPr>
          <w:sz w:val="26"/>
          <w:szCs w:val="26"/>
        </w:rPr>
        <w:t>, надлежащим качеством исполнения ими своих профессиональных обязанностей.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>3.6. Все работы по информатизации проводить в строгом соответствии с требованиями ФЗ-152 «О защите персональных данных».</w:t>
      </w:r>
    </w:p>
    <w:p w:rsidR="003B4FAD" w:rsidRPr="0056561D" w:rsidRDefault="003B4FAD" w:rsidP="006660EE">
      <w:pPr>
        <w:spacing w:after="120"/>
        <w:ind w:firstLine="709"/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3.7. Обеспечить своевременную, качественную мониторинговую отчетность по информатизации медицинских организаций в БУЗ РА «МИАЦ», </w:t>
      </w:r>
      <w:proofErr w:type="gramStart"/>
      <w:r w:rsidRPr="0056561D">
        <w:rPr>
          <w:sz w:val="26"/>
          <w:szCs w:val="26"/>
        </w:rPr>
        <w:t>согласно</w:t>
      </w:r>
      <w:proofErr w:type="gramEnd"/>
      <w:r w:rsidRPr="0056561D">
        <w:rPr>
          <w:sz w:val="26"/>
          <w:szCs w:val="26"/>
        </w:rPr>
        <w:t xml:space="preserve"> утвержденного графика. </w:t>
      </w:r>
    </w:p>
    <w:p w:rsidR="003B4FAD" w:rsidRPr="0056561D" w:rsidRDefault="003B4FAD" w:rsidP="003B4FAD">
      <w:pPr>
        <w:spacing w:after="120"/>
        <w:ind w:left="357" w:firstLine="539"/>
        <w:jc w:val="both"/>
        <w:rPr>
          <w:sz w:val="26"/>
          <w:szCs w:val="26"/>
        </w:rPr>
      </w:pPr>
    </w:p>
    <w:p w:rsidR="003B4FAD" w:rsidRPr="0056561D" w:rsidRDefault="003B4FAD" w:rsidP="003B4FAD">
      <w:pPr>
        <w:jc w:val="both"/>
        <w:rPr>
          <w:sz w:val="26"/>
          <w:szCs w:val="26"/>
        </w:rPr>
      </w:pPr>
      <w:r w:rsidRPr="0056561D">
        <w:rPr>
          <w:sz w:val="26"/>
          <w:szCs w:val="26"/>
        </w:rPr>
        <w:t xml:space="preserve">Председатель Коллегии  </w:t>
      </w:r>
    </w:p>
    <w:p w:rsidR="003B4FAD" w:rsidRPr="0056561D" w:rsidRDefault="00A6716A" w:rsidP="003B4F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Министр  здравоохранения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4FAD" w:rsidRPr="0056561D">
        <w:rPr>
          <w:sz w:val="26"/>
          <w:szCs w:val="26"/>
        </w:rPr>
        <w:t xml:space="preserve">А.А. </w:t>
      </w:r>
      <w:proofErr w:type="spellStart"/>
      <w:r w:rsidR="003B4FAD" w:rsidRPr="0056561D">
        <w:rPr>
          <w:sz w:val="26"/>
          <w:szCs w:val="26"/>
        </w:rPr>
        <w:t>Макин</w:t>
      </w:r>
      <w:proofErr w:type="spellEnd"/>
    </w:p>
    <w:p w:rsidR="003B4FAD" w:rsidRPr="0056561D" w:rsidRDefault="003B4FAD" w:rsidP="003B4FAD">
      <w:pPr>
        <w:jc w:val="both"/>
        <w:rPr>
          <w:sz w:val="26"/>
          <w:szCs w:val="26"/>
        </w:rPr>
      </w:pPr>
    </w:p>
    <w:p w:rsidR="003B4FAD" w:rsidRPr="0056561D" w:rsidRDefault="00A6716A" w:rsidP="003B4F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Коллегии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4FAD" w:rsidRPr="0056561D">
        <w:rPr>
          <w:sz w:val="26"/>
          <w:szCs w:val="26"/>
        </w:rPr>
        <w:t>Ф.Ф. Федотов</w:t>
      </w:r>
    </w:p>
    <w:p w:rsidR="00C8227F" w:rsidRPr="0056561D" w:rsidRDefault="00C8227F" w:rsidP="00B95108">
      <w:pPr>
        <w:rPr>
          <w:sz w:val="26"/>
          <w:szCs w:val="26"/>
        </w:rPr>
      </w:pPr>
    </w:p>
    <w:sectPr w:rsidR="00C8227F" w:rsidRPr="0056561D" w:rsidSect="00EC466C">
      <w:footerReference w:type="default" r:id="rId8"/>
      <w:pgSz w:w="11906" w:h="16838"/>
      <w:pgMar w:top="851" w:right="707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6D" w:rsidRDefault="0099636D" w:rsidP="00EC466C">
      <w:r>
        <w:separator/>
      </w:r>
    </w:p>
  </w:endnote>
  <w:endnote w:type="continuationSeparator" w:id="0">
    <w:p w:rsidR="0099636D" w:rsidRDefault="0099636D" w:rsidP="00EC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074492"/>
      <w:docPartObj>
        <w:docPartGallery w:val="Page Numbers (Bottom of Page)"/>
        <w:docPartUnique/>
      </w:docPartObj>
    </w:sdtPr>
    <w:sdtEndPr/>
    <w:sdtContent>
      <w:p w:rsidR="00EC466C" w:rsidRDefault="00EC46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58B">
          <w:rPr>
            <w:noProof/>
          </w:rPr>
          <w:t>6</w:t>
        </w:r>
        <w:r>
          <w:fldChar w:fldCharType="end"/>
        </w:r>
      </w:p>
    </w:sdtContent>
  </w:sdt>
  <w:p w:rsidR="00EC466C" w:rsidRDefault="00EC46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6D" w:rsidRDefault="0099636D" w:rsidP="00EC466C">
      <w:r>
        <w:separator/>
      </w:r>
    </w:p>
  </w:footnote>
  <w:footnote w:type="continuationSeparator" w:id="0">
    <w:p w:rsidR="0099636D" w:rsidRDefault="0099636D" w:rsidP="00EC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1E4534"/>
    <w:multiLevelType w:val="multilevel"/>
    <w:tmpl w:val="3AF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3E2A"/>
    <w:multiLevelType w:val="hybridMultilevel"/>
    <w:tmpl w:val="A03EF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60752"/>
    <w:multiLevelType w:val="hybridMultilevel"/>
    <w:tmpl w:val="138A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D6801"/>
    <w:multiLevelType w:val="hybridMultilevel"/>
    <w:tmpl w:val="62B06A7C"/>
    <w:lvl w:ilvl="0" w:tplc="7F3EF69A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E25443"/>
    <w:multiLevelType w:val="hybridMultilevel"/>
    <w:tmpl w:val="F682865A"/>
    <w:lvl w:ilvl="0" w:tplc="7F3EF69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BC0B2F"/>
    <w:multiLevelType w:val="multilevel"/>
    <w:tmpl w:val="B0DEDA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  <w:b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4"/>
    <w:rsid w:val="0002203A"/>
    <w:rsid w:val="0006179E"/>
    <w:rsid w:val="0007546C"/>
    <w:rsid w:val="00092843"/>
    <w:rsid w:val="000B4D71"/>
    <w:rsid w:val="000C1D7D"/>
    <w:rsid w:val="000D1079"/>
    <w:rsid w:val="000F1E9D"/>
    <w:rsid w:val="000F52EA"/>
    <w:rsid w:val="00103EF7"/>
    <w:rsid w:val="00104839"/>
    <w:rsid w:val="00112DD8"/>
    <w:rsid w:val="00115152"/>
    <w:rsid w:val="00121DA5"/>
    <w:rsid w:val="0013016C"/>
    <w:rsid w:val="0013613F"/>
    <w:rsid w:val="00140EB7"/>
    <w:rsid w:val="00174EEE"/>
    <w:rsid w:val="00177165"/>
    <w:rsid w:val="001B51E0"/>
    <w:rsid w:val="001D2779"/>
    <w:rsid w:val="001D7B11"/>
    <w:rsid w:val="001E74BE"/>
    <w:rsid w:val="00221139"/>
    <w:rsid w:val="00234F65"/>
    <w:rsid w:val="0024144F"/>
    <w:rsid w:val="0024457F"/>
    <w:rsid w:val="00270D32"/>
    <w:rsid w:val="002814C6"/>
    <w:rsid w:val="00286213"/>
    <w:rsid w:val="002A1DA3"/>
    <w:rsid w:val="002B2878"/>
    <w:rsid w:val="002C25FE"/>
    <w:rsid w:val="002E1A0B"/>
    <w:rsid w:val="0030453D"/>
    <w:rsid w:val="00305084"/>
    <w:rsid w:val="00317369"/>
    <w:rsid w:val="00320D9B"/>
    <w:rsid w:val="00341137"/>
    <w:rsid w:val="0035787D"/>
    <w:rsid w:val="00361612"/>
    <w:rsid w:val="0037530B"/>
    <w:rsid w:val="00385727"/>
    <w:rsid w:val="00387917"/>
    <w:rsid w:val="003B4FAD"/>
    <w:rsid w:val="003C0C93"/>
    <w:rsid w:val="003C10AB"/>
    <w:rsid w:val="003F1A53"/>
    <w:rsid w:val="003F69D5"/>
    <w:rsid w:val="00405119"/>
    <w:rsid w:val="004051E6"/>
    <w:rsid w:val="00406657"/>
    <w:rsid w:val="004172AE"/>
    <w:rsid w:val="00447FF5"/>
    <w:rsid w:val="00457932"/>
    <w:rsid w:val="00460513"/>
    <w:rsid w:val="00471C9C"/>
    <w:rsid w:val="00510B8C"/>
    <w:rsid w:val="005134CA"/>
    <w:rsid w:val="00522879"/>
    <w:rsid w:val="0056561D"/>
    <w:rsid w:val="005811CB"/>
    <w:rsid w:val="005B7207"/>
    <w:rsid w:val="005C4239"/>
    <w:rsid w:val="005F0A0C"/>
    <w:rsid w:val="005F579C"/>
    <w:rsid w:val="0061636C"/>
    <w:rsid w:val="00617C9A"/>
    <w:rsid w:val="00656F38"/>
    <w:rsid w:val="006660EE"/>
    <w:rsid w:val="006D1F96"/>
    <w:rsid w:val="006E007C"/>
    <w:rsid w:val="006E53A2"/>
    <w:rsid w:val="006E7F60"/>
    <w:rsid w:val="007025C4"/>
    <w:rsid w:val="00723F7A"/>
    <w:rsid w:val="00756881"/>
    <w:rsid w:val="00786D80"/>
    <w:rsid w:val="00815174"/>
    <w:rsid w:val="008255A9"/>
    <w:rsid w:val="0083081E"/>
    <w:rsid w:val="00867D6C"/>
    <w:rsid w:val="00886561"/>
    <w:rsid w:val="00896E5A"/>
    <w:rsid w:val="008E39C3"/>
    <w:rsid w:val="0097216E"/>
    <w:rsid w:val="0099636D"/>
    <w:rsid w:val="009B2582"/>
    <w:rsid w:val="009D25CB"/>
    <w:rsid w:val="009F42D3"/>
    <w:rsid w:val="00A401E2"/>
    <w:rsid w:val="00A42CF8"/>
    <w:rsid w:val="00A6716A"/>
    <w:rsid w:val="00AA14A0"/>
    <w:rsid w:val="00AA15CA"/>
    <w:rsid w:val="00AB4313"/>
    <w:rsid w:val="00AC7681"/>
    <w:rsid w:val="00AF0653"/>
    <w:rsid w:val="00AF15EA"/>
    <w:rsid w:val="00B12F3A"/>
    <w:rsid w:val="00B56ADC"/>
    <w:rsid w:val="00B65814"/>
    <w:rsid w:val="00B6761F"/>
    <w:rsid w:val="00B8138E"/>
    <w:rsid w:val="00B833C8"/>
    <w:rsid w:val="00B90DB8"/>
    <w:rsid w:val="00B95108"/>
    <w:rsid w:val="00BB0998"/>
    <w:rsid w:val="00BB2DD1"/>
    <w:rsid w:val="00BF2B88"/>
    <w:rsid w:val="00BF41E3"/>
    <w:rsid w:val="00BF42C4"/>
    <w:rsid w:val="00BF47A4"/>
    <w:rsid w:val="00C4506B"/>
    <w:rsid w:val="00C5378D"/>
    <w:rsid w:val="00C8227F"/>
    <w:rsid w:val="00CA5DDA"/>
    <w:rsid w:val="00CD6B3A"/>
    <w:rsid w:val="00CE69FE"/>
    <w:rsid w:val="00D33715"/>
    <w:rsid w:val="00D46395"/>
    <w:rsid w:val="00D530F7"/>
    <w:rsid w:val="00D7600B"/>
    <w:rsid w:val="00D845C9"/>
    <w:rsid w:val="00D91FAB"/>
    <w:rsid w:val="00DA2680"/>
    <w:rsid w:val="00DC156C"/>
    <w:rsid w:val="00DE5D81"/>
    <w:rsid w:val="00DF16B4"/>
    <w:rsid w:val="00DF4E2F"/>
    <w:rsid w:val="00E12E2E"/>
    <w:rsid w:val="00E44246"/>
    <w:rsid w:val="00E55093"/>
    <w:rsid w:val="00E55219"/>
    <w:rsid w:val="00E61A09"/>
    <w:rsid w:val="00E66677"/>
    <w:rsid w:val="00E80D70"/>
    <w:rsid w:val="00E84794"/>
    <w:rsid w:val="00EA3544"/>
    <w:rsid w:val="00EC466C"/>
    <w:rsid w:val="00ED1086"/>
    <w:rsid w:val="00ED2EB9"/>
    <w:rsid w:val="00ED7854"/>
    <w:rsid w:val="00EE2FA9"/>
    <w:rsid w:val="00F735DC"/>
    <w:rsid w:val="00F831E6"/>
    <w:rsid w:val="00FC392C"/>
    <w:rsid w:val="00FC458B"/>
    <w:rsid w:val="00FD28DF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38"/>
  </w:style>
  <w:style w:type="paragraph" w:styleId="2">
    <w:name w:val="heading 2"/>
    <w:basedOn w:val="a"/>
    <w:next w:val="a"/>
    <w:qFormat/>
    <w:rsid w:val="00656F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657"/>
    <w:pPr>
      <w:jc w:val="center"/>
    </w:pPr>
    <w:rPr>
      <w:sz w:val="26"/>
    </w:rPr>
  </w:style>
  <w:style w:type="paragraph" w:customStyle="1" w:styleId="1">
    <w:name w:val="Абзац списка1"/>
    <w:basedOn w:val="a"/>
    <w:rsid w:val="00C8227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C822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8227F"/>
  </w:style>
  <w:style w:type="paragraph" w:styleId="a6">
    <w:name w:val="Body Text"/>
    <w:basedOn w:val="a"/>
    <w:link w:val="a7"/>
    <w:rsid w:val="00C8227F"/>
    <w:pPr>
      <w:widowControl w:val="0"/>
      <w:suppressAutoHyphens/>
      <w:spacing w:after="120"/>
    </w:pPr>
    <w:rPr>
      <w:rFonts w:eastAsia="SimSun" w:cs="Lucida Sans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link w:val="a6"/>
    <w:rsid w:val="00C8227F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C8227F"/>
    <w:pPr>
      <w:widowControl w:val="0"/>
      <w:suppressLineNumbers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paragraph" w:styleId="a9">
    <w:name w:val="List Paragraph"/>
    <w:basedOn w:val="a"/>
    <w:qFormat/>
    <w:rsid w:val="00C8227F"/>
    <w:pPr>
      <w:ind w:left="720"/>
    </w:pPr>
    <w:rPr>
      <w:kern w:val="2"/>
      <w:sz w:val="24"/>
      <w:szCs w:val="24"/>
      <w:lang w:eastAsia="ar-SA"/>
    </w:rPr>
  </w:style>
  <w:style w:type="character" w:customStyle="1" w:styleId="a4">
    <w:name w:val="Название Знак"/>
    <w:link w:val="a3"/>
    <w:rsid w:val="003B4FAD"/>
    <w:rPr>
      <w:sz w:val="26"/>
    </w:rPr>
  </w:style>
  <w:style w:type="paragraph" w:styleId="aa">
    <w:name w:val="header"/>
    <w:basedOn w:val="a"/>
    <w:link w:val="ab"/>
    <w:rsid w:val="00EC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C466C"/>
  </w:style>
  <w:style w:type="paragraph" w:styleId="ac">
    <w:name w:val="footer"/>
    <w:basedOn w:val="a"/>
    <w:link w:val="ad"/>
    <w:uiPriority w:val="99"/>
    <w:rsid w:val="00EC46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Ф Ф</dc:creator>
  <cp:lastModifiedBy>BailagasovaEV</cp:lastModifiedBy>
  <cp:revision>6</cp:revision>
  <cp:lastPrinted>2018-12-20T07:15:00Z</cp:lastPrinted>
  <dcterms:created xsi:type="dcterms:W3CDTF">2018-12-20T07:01:00Z</dcterms:created>
  <dcterms:modified xsi:type="dcterms:W3CDTF">2018-12-26T02:54:00Z</dcterms:modified>
</cp:coreProperties>
</file>